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120"/>
        <w:jc w:val="center"/>
      </w:pPr>
      <w:r>
        <w:rPr>
          <w:rFonts w:ascii="Calibri" w:cs="Calibri" w:eastAsia="Calibri" w:hAnsi="Calibri"/>
          <w:b/>
          <w:bCs/>
          <w:color w:val="A10C14"/>
          <w:sz w:val="56"/>
          <w:szCs w:val="56"/>
        </w:rPr>
        <w:t xml:space="preserve">CARDANO'S CLASSIFIEDS</w:t>
      </w:r>
    </w:p>
    <w:p>
      <w:pPr>
        <w:spacing w:after="40"/>
        <w:jc w:val="center"/>
      </w:pPr>
      <w:r>
        <w:rPr>
          <w:rFonts w:ascii="Calibri" w:cs="Calibri" w:eastAsia="Calibri" w:hAnsi="Calibri"/>
          <w:color w:val="1A2233"/>
          <w:sz w:val="36"/>
          <w:szCs w:val="36"/>
        </w:rPr>
        <w:t xml:space="preserve">Business Plan</w:t>
      </w:r>
    </w:p>
    <w:p>
      <w:pPr>
        <w:spacing w:after="500" w:before="60"/>
        <w:jc w:val="center"/>
      </w:pPr>
      <w:r>
        <w:rPr>
          <w:rFonts w:ascii="Calibri" w:cs="Calibri" w:eastAsia="Calibri" w:hAnsi="Calibri"/>
          <w:color w:val="2E4B72"/>
          <w:spacing w:val="20"/>
          <w:sz w:val="22"/>
          <w:szCs w:val="22"/>
        </w:rPr>
        <w:t xml:space="preserve">$CLASS</w:t>
      </w:r>
    </w:p>
    <w:p>
      <w:pPr>
        <w:spacing w:after="60"/>
        <w:jc w:val="center"/>
      </w:pPr>
      <w:r>
        <w:rPr>
          <w:rFonts w:ascii="Calibri" w:cs="Calibri" w:eastAsia="Calibri" w:hAnsi="Calibri"/>
          <w:i/>
          <w:iCs/>
          <w:color w:val="4C5872"/>
          <w:sz w:val="20"/>
          <w:szCs w:val="20"/>
        </w:rPr>
        <w:t xml:space="preserve">Confidential — prepared for prospective investors.</w:t>
      </w:r>
    </w:p>
    <w:p>
      <w:pPr>
        <w:jc w:val="center"/>
      </w:pPr>
      <w:r>
        <w:rPr>
          <w:rFonts w:ascii="Calibri" w:cs="Calibri" w:eastAsia="Calibri" w:hAnsi="Calibri"/>
          <w:color w:val="76705C"/>
          <w:sz w:val="20"/>
          <w:szCs w:val="20"/>
        </w:rPr>
        <w:t xml:space="preserve">September 20, 2026</w:t>
      </w:r>
    </w:p>
    <w:p>
      <w:r>
        <w:br w:type="page"/>
      </w:r>
    </w:p>
    <w:p>
      <w:pPr>
        <w:pStyle w:val="Heading1"/>
        <w:pBdr>
          <w:bottom w:val="single" w:color="A10C14" w:sz="6" w:space="4"/>
        </w:pBdr>
        <w:spacing w:after="200" w:before="420"/>
      </w:pPr>
      <w:r>
        <w:rPr>
          <w:rFonts w:ascii="Calibri" w:cs="Calibri" w:eastAsia="Calibri" w:hAnsi="Calibri"/>
          <w:b/>
          <w:bCs/>
          <w:color w:val="A10C14"/>
          <w:sz w:val="30"/>
          <w:szCs w:val="30"/>
        </w:rPr>
        <w:t xml:space="preserve">Executive Summary</w:t>
      </w:r>
    </w:p>
    <w:p>
      <w:pPr>
        <w:spacing w:after="200" w:line="276"/>
      </w:pPr>
      <w:r>
        <w:rPr>
          <w:rFonts w:ascii="Calibri" w:cs="Calibri" w:eastAsia="Calibri" w:hAnsi="Calibri"/>
          <w:b w:val="false"/>
          <w:bCs w:val="false"/>
          <w:i w:val="false"/>
          <w:iCs w:val="false"/>
          <w:color w:val="1A2233"/>
          <w:sz w:val="22"/>
          <w:szCs w:val="22"/>
        </w:rPr>
        <w:t xml:space="preserve">Cardano's Classifieds is a live, working services marketplace built natively on Cardano, connecting clients with service professionals (“pros”) through direct on-chain payments, real-time video, and social discovery tools. This is not a concept: the platform's payments layer, live-streaming system, tipping, private video calls, automated content moderation, and $CLASS staking are built and operating today.</w:t>
      </w:r>
    </w:p>
    <w:p>
      <w:pPr>
        <w:spacing w:after="200" w:line="276"/>
      </w:pPr>
      <w:r>
        <w:rPr>
          <w:rFonts w:ascii="Calibri" w:cs="Calibri" w:eastAsia="Calibri" w:hAnsi="Calibri"/>
          <w:b w:val="false"/>
          <w:bCs w:val="false"/>
          <w:i w:val="false"/>
          <w:iCs w:val="false"/>
          <w:color w:val="1A2233"/>
          <w:sz w:val="22"/>
          <w:szCs w:val="22"/>
        </w:rPr>
        <w:t xml:space="preserve">Cardano's Classifieds is raising a round of early investment to fund onboarding the platform's first cohort of clients and pros — the single highest-leverage use of capital for any two-sided marketplace at this stage. The platform's own token, $CLASS, is structured to fund its own growth alongside that raise: 40% of total supply is held permanently by the Organization Treasury, never sold, and staked like any other $CLASS wallet. What that stake earns funds user acquisition and Version 2 — a more refined, secure, and fully realized version of the platform — plus the Round Table's pay: the OG team and round-table investors take 10% of what the Treasury's 40% earns (see Tokenomics, below). The remaining 60% is sold publicly, putting ownership directly in the hands of the people who use the platform.</w:t>
      </w:r>
    </w:p>
    <w:p>
      <w:pPr>
        <w:spacing w:after="200" w:line="276"/>
      </w:pPr>
      <w:r>
        <w:rPr>
          <w:rFonts w:ascii="Calibri" w:cs="Calibri" w:eastAsia="Calibri" w:hAnsi="Calibri"/>
          <w:b w:val="false"/>
          <w:bCs w:val="false"/>
          <w:i w:val="false"/>
          <w:iCs w:val="false"/>
          <w:color w:val="1A2233"/>
          <w:sz w:val="22"/>
          <w:szCs w:val="22"/>
        </w:rPr>
        <w:t xml:space="preserve">Governance follows a deliberate two-phase path. Today, the platform is led round-table style: no single head of the table, decisions made collaboratively among its core early contributors, modeled explicitly on the Round Table of Arthurian legend. Once Version 2 is live and the treasury-funded operation is profitable enough to sustain itself, the OG team will formally stand up a Board of Directors to manage all aspects of the platform and business — a deliberate transition from a lean execution team to institutional governance, timed to the platform's actual maturity.</w:t>
      </w:r>
    </w:p>
    <w:p>
      <w:pPr>
        <w:pStyle w:val="Heading1"/>
        <w:pBdr>
          <w:bottom w:val="single" w:color="A10C14" w:sz="6" w:space="4"/>
        </w:pBdr>
        <w:spacing w:after="200" w:before="420"/>
      </w:pPr>
      <w:r>
        <w:rPr>
          <w:rFonts w:ascii="Calibri" w:cs="Calibri" w:eastAsia="Calibri" w:hAnsi="Calibri"/>
          <w:b/>
          <w:bCs/>
          <w:color w:val="A10C14"/>
          <w:sz w:val="30"/>
          <w:szCs w:val="30"/>
        </w:rPr>
        <w:t xml:space="preserve">1. Company Overview</w:t>
      </w:r>
    </w:p>
    <w:p>
      <w:pPr>
        <w:spacing w:after="200" w:line="276"/>
      </w:pPr>
      <w:r>
        <w:rPr>
          <w:rFonts w:ascii="Calibri" w:cs="Calibri" w:eastAsia="Calibri" w:hAnsi="Calibri"/>
          <w:b w:val="false"/>
          <w:bCs w:val="false"/>
          <w:i w:val="false"/>
          <w:iCs w:val="false"/>
          <w:color w:val="1A2233"/>
          <w:sz w:val="22"/>
          <w:szCs w:val="22"/>
        </w:rPr>
        <w:t xml:space="preserve">Cardano's Classifieds is a services marketplace: a place for clients to find, book, and pay verified pros, and for pros to build a public presence, stream their work, and get paid directly — natively on Cardano, with a conventional card-payment option alongside it so mainstream users aren't required to hold a crypto wallet to participate.</w:t>
      </w:r>
    </w:p>
    <w:p>
      <w:pPr>
        <w:spacing w:after="200" w:line="276"/>
      </w:pPr>
      <w:r>
        <w:rPr>
          <w:rFonts w:ascii="Calibri" w:cs="Calibri" w:eastAsia="Calibri" w:hAnsi="Calibri"/>
          <w:b w:val="false"/>
          <w:bCs w:val="false"/>
          <w:i w:val="false"/>
          <w:iCs w:val="false"/>
          <w:color w:val="1A2233"/>
          <w:sz w:val="22"/>
          <w:szCs w:val="22"/>
        </w:rPr>
        <w:t xml:space="preserve">Two-sided marketplaces succeed or fail on their first cohort. The hard part is rarely the software — it's earning the trust of the first pros who show up to deliver and the first clients who show up to pay. Cardano's Classifieds already has the software: a full marketplace core (profiles, listings, browse and discovery, bookings, messaging, and social features like posts, follows, and likes), live streaming, tipping, private video calls, and production content-moderation systems keeping the platform safe as it grows. What the platform needs next is people — and that is exactly what this raise, and the Treasury's own token allocation, are built to fund.</w:t>
      </w:r>
    </w:p>
    <w:p>
      <w:pPr>
        <w:pStyle w:val="Heading1"/>
        <w:pBdr>
          <w:bottom w:val="single" w:color="A10C14" w:sz="6" w:space="4"/>
        </w:pBdr>
        <w:spacing w:after="200" w:before="420"/>
      </w:pPr>
      <w:r>
        <w:rPr>
          <w:rFonts w:ascii="Calibri" w:cs="Calibri" w:eastAsia="Calibri" w:hAnsi="Calibri"/>
          <w:b/>
          <w:bCs/>
          <w:color w:val="A10C14"/>
          <w:sz w:val="30"/>
          <w:szCs w:val="30"/>
        </w:rPr>
        <w:t xml:space="preserve">2. Product &amp; Technology</w:t>
      </w:r>
    </w:p>
    <w:p>
      <w:pPr>
        <w:spacing w:after="200" w:line="276"/>
      </w:pPr>
      <w:r>
        <w:rPr>
          <w:rFonts w:ascii="Calibri" w:cs="Calibri" w:eastAsia="Calibri" w:hAnsi="Calibri"/>
          <w:b w:val="false"/>
          <w:bCs w:val="false"/>
          <w:i w:val="false"/>
          <w:iCs w:val="false"/>
          <w:color w:val="1A2233"/>
          <w:sz w:val="22"/>
          <w:szCs w:val="22"/>
        </w:rPr>
        <w:t xml:space="preserve">Every system below is shipped and running — not a roadmap item:</w:t>
      </w:r>
    </w:p>
    <w:p>
      <w:pPr>
        <w:pStyle w:val="ListParagraph"/>
        <w:numPr>
          <w:ilvl w:val="0"/>
          <w:numId w:val="2"/>
        </w:numPr>
        <w:spacing w:after="120" w:line="276"/>
      </w:pPr>
      <w:r>
        <w:rPr>
          <w:rFonts w:ascii="Calibri" w:cs="Calibri" w:eastAsia="Calibri" w:hAnsi="Calibri"/>
          <w:b/>
          <w:bCs/>
          <w:color w:val="1A2233"/>
          <w:sz w:val="22"/>
          <w:szCs w:val="22"/>
        </w:rPr>
        <w:t xml:space="preserve">Cardano-native payments — </w:t>
      </w:r>
      <w:r>
        <w:rPr>
          <w:rFonts w:ascii="Calibri" w:cs="Calibri" w:eastAsia="Calibri" w:hAnsi="Calibri"/>
          <w:color w:val="1A2233"/>
          <w:sz w:val="22"/>
          <w:szCs w:val="22"/>
        </w:rPr>
        <w:t xml:space="preserve">wallet connection and direct on-chain payment and verification, built on Cardano.</w:t>
      </w:r>
    </w:p>
    <w:p>
      <w:pPr>
        <w:pStyle w:val="ListParagraph"/>
        <w:numPr>
          <w:ilvl w:val="0"/>
          <w:numId w:val="2"/>
        </w:numPr>
        <w:spacing w:after="120" w:line="276"/>
      </w:pPr>
      <w:r>
        <w:rPr>
          <w:rFonts w:ascii="Calibri" w:cs="Calibri" w:eastAsia="Calibri" w:hAnsi="Calibri"/>
          <w:b/>
          <w:bCs/>
          <w:color w:val="1A2233"/>
          <w:sz w:val="22"/>
          <w:szCs w:val="22"/>
        </w:rPr>
        <w:t xml:space="preserve">Go Live — </w:t>
      </w:r>
      <w:r>
        <w:rPr>
          <w:rFonts w:ascii="Calibri" w:cs="Calibri" w:eastAsia="Calibri" w:hAnsi="Calibri"/>
          <w:color w:val="1A2233"/>
          <w:sz w:val="22"/>
          <w:szCs w:val="22"/>
        </w:rPr>
        <w:t xml:space="preserve">real-time streaming so pros can showcase their work and build an audience, with managed viewer capacity to keep streams reliable at scale.</w:t>
      </w:r>
    </w:p>
    <w:p>
      <w:pPr>
        <w:pStyle w:val="ListParagraph"/>
        <w:numPr>
          <w:ilvl w:val="0"/>
          <w:numId w:val="2"/>
        </w:numPr>
        <w:spacing w:after="120" w:line="276"/>
      </w:pPr>
      <w:r>
        <w:rPr>
          <w:rFonts w:ascii="Calibri" w:cs="Calibri" w:eastAsia="Calibri" w:hAnsi="Calibri"/>
          <w:b/>
          <w:bCs/>
          <w:color w:val="1A2233"/>
          <w:sz w:val="22"/>
          <w:szCs w:val="22"/>
        </w:rPr>
        <w:t xml:space="preserve">Tipping, on two independent rails — </w:t>
      </w:r>
      <w:r>
        <w:rPr>
          <w:rFonts w:ascii="Calibri" w:cs="Calibri" w:eastAsia="Calibri" w:hAnsi="Calibri"/>
          <w:color w:val="1A2233"/>
          <w:sz w:val="22"/>
          <w:szCs w:val="22"/>
        </w:rPr>
        <w:t xml:space="preserve">Cardano (ADA) and Stripe (card) — so both crypto-native and mainstream clients can support pros directly, however they prefer to pay.</w:t>
      </w:r>
    </w:p>
    <w:p>
      <w:pPr>
        <w:pStyle w:val="ListParagraph"/>
        <w:numPr>
          <w:ilvl w:val="0"/>
          <w:numId w:val="2"/>
        </w:numPr>
        <w:spacing w:after="120" w:line="276"/>
      </w:pPr>
      <w:r>
        <w:rPr>
          <w:rFonts w:ascii="Calibri" w:cs="Calibri" w:eastAsia="Calibri" w:hAnsi="Calibri"/>
          <w:b/>
          <w:bCs/>
          <w:color w:val="1A2233"/>
          <w:sz w:val="22"/>
          <w:szCs w:val="22"/>
        </w:rPr>
        <w:t xml:space="preserve">Cam-to-cam — </w:t>
      </w:r>
      <w:r>
        <w:rPr>
          <w:rFonts w:ascii="Calibri" w:cs="Calibri" w:eastAsia="Calibri" w:hAnsi="Calibri"/>
          <w:color w:val="1A2233"/>
          <w:sz w:val="22"/>
          <w:szCs w:val="22"/>
        </w:rPr>
        <w:t xml:space="preserve">private one-to-one video calls between clients and pros.</w:t>
      </w:r>
    </w:p>
    <w:p>
      <w:pPr>
        <w:pStyle w:val="ListParagraph"/>
        <w:numPr>
          <w:ilvl w:val="0"/>
          <w:numId w:val="2"/>
        </w:numPr>
        <w:spacing w:after="120" w:line="276"/>
      </w:pPr>
      <w:r>
        <w:rPr>
          <w:rFonts w:ascii="Calibri" w:cs="Calibri" w:eastAsia="Calibri" w:hAnsi="Calibri"/>
          <w:b/>
          <w:bCs/>
          <w:color w:val="1A2233"/>
          <w:sz w:val="22"/>
          <w:szCs w:val="22"/>
        </w:rPr>
        <w:t xml:space="preserve">Trust &amp; safety — </w:t>
      </w:r>
      <w:r>
        <w:rPr>
          <w:rFonts w:ascii="Calibri" w:cs="Calibri" w:eastAsia="Calibri" w:hAnsi="Calibri"/>
          <w:color w:val="1A2233"/>
          <w:sz w:val="22"/>
          <w:szCs w:val="22"/>
        </w:rPr>
        <w:t xml:space="preserve">automated moderation running in production on every piece of media and text: image moderation via Google Vision, text moderation via OpenAI, with a live health dashboard monitoring both systems.</w:t>
      </w:r>
    </w:p>
    <w:p>
      <w:pPr>
        <w:pStyle w:val="ListParagraph"/>
        <w:numPr>
          <w:ilvl w:val="0"/>
          <w:numId w:val="2"/>
        </w:numPr>
        <w:spacing w:after="120" w:line="276"/>
      </w:pPr>
      <w:r>
        <w:rPr>
          <w:rFonts w:ascii="Calibri" w:cs="Calibri" w:eastAsia="Calibri" w:hAnsi="Calibri"/>
          <w:b/>
          <w:bCs/>
          <w:color w:val="1A2233"/>
          <w:sz w:val="22"/>
          <w:szCs w:val="22"/>
        </w:rPr>
        <w:t xml:space="preserve">Marketplace core — </w:t>
      </w:r>
      <w:r>
        <w:rPr>
          <w:rFonts w:ascii="Calibri" w:cs="Calibri" w:eastAsia="Calibri" w:hAnsi="Calibri"/>
          <w:color w:val="1A2233"/>
          <w:sz w:val="22"/>
          <w:szCs w:val="22"/>
        </w:rPr>
        <w:t xml:space="preserve">profiles and listings, browse and discovery, bookings, direct messaging, and social features that help clients find and vet pros.</w:t>
      </w:r>
    </w:p>
    <w:p>
      <w:pPr>
        <w:pStyle w:val="ListParagraph"/>
        <w:numPr>
          <w:ilvl w:val="0"/>
          <w:numId w:val="2"/>
        </w:numPr>
        <w:spacing w:after="120" w:line="276"/>
      </w:pPr>
      <w:r>
        <w:rPr>
          <w:rFonts w:ascii="Calibri" w:cs="Calibri" w:eastAsia="Calibri" w:hAnsi="Calibri"/>
          <w:b/>
          <w:bCs/>
          <w:color w:val="1A2233"/>
          <w:sz w:val="22"/>
          <w:szCs w:val="22"/>
        </w:rPr>
        <w:t xml:space="preserve">$CLASS staking — </w:t>
      </w:r>
      <w:r>
        <w:rPr>
          <w:rFonts w:ascii="Calibri" w:cs="Calibri" w:eastAsia="Calibri" w:hAnsi="Calibri"/>
          <w:color w:val="1A2233"/>
          <w:sz w:val="22"/>
          <w:szCs w:val="22"/>
        </w:rPr>
        <w:t xml:space="preserve">wallets stake without ever moving their tokens (a signed on-chain declaration, verified on-chain and re-checked twice daily) and receive a share of platform revenue in return — see Business Model, below.</w:t>
      </w:r>
    </w:p>
    <w:p>
      <w:pPr>
        <w:pStyle w:val="Heading1"/>
        <w:pBdr>
          <w:bottom w:val="single" w:color="A10C14" w:sz="6" w:space="4"/>
        </w:pBdr>
        <w:spacing w:after="200" w:before="420"/>
      </w:pPr>
      <w:r>
        <w:rPr>
          <w:rFonts w:ascii="Calibri" w:cs="Calibri" w:eastAsia="Calibri" w:hAnsi="Calibri"/>
          <w:b/>
          <w:bCs/>
          <w:color w:val="A10C14"/>
          <w:sz w:val="30"/>
          <w:szCs w:val="30"/>
        </w:rPr>
        <w:t xml:space="preserve">3. Business Model</w:t>
      </w:r>
    </w:p>
    <w:p>
      <w:pPr>
        <w:spacing w:after="200" w:line="276"/>
      </w:pPr>
      <w:r>
        <w:rPr>
          <w:rFonts w:ascii="Calibri" w:cs="Calibri" w:eastAsia="Calibri" w:hAnsi="Calibri"/>
          <w:b w:val="false"/>
          <w:bCs w:val="false"/>
          <w:i w:val="false"/>
          <w:iCs w:val="false"/>
          <w:color w:val="1A2233"/>
          <w:sz w:val="22"/>
          <w:szCs w:val="22"/>
        </w:rPr>
        <w:t xml:space="preserve">Pros keep 90% of what they earn. Cardano's Classifieds takes a flat 10% platform fee on bookings and tips — the same cut whether a client pays by card or in ADA — and nothing else: no listing fees, no subscription, no charge just to browse or send a message. Go Live access carries its own additional platform fee on top of that — billed for a 24-hour access window, with a recurring free hour for pros who don't yet have paying demand — a second, live example of the fee mechanics that fund the platform.</w:t>
      </w:r>
    </w:p>
    <w:p>
      <w:pPr>
        <w:spacing w:after="200" w:line="276"/>
      </w:pPr>
      <w:r>
        <w:rPr>
          <w:rFonts w:ascii="Calibri" w:cs="Calibri" w:eastAsia="Calibri" w:hAnsi="Calibri"/>
          <w:b w:val="false"/>
          <w:bCs w:val="false"/>
          <w:i w:val="false"/>
          <w:iCs w:val="false"/>
          <w:color w:val="1A2233"/>
          <w:sz w:val="22"/>
          <w:szCs w:val="22"/>
        </w:rPr>
        <w:t xml:space="preserve">100% of platform fees are paid out to staked $CLASS wallets, split proportionally across every staked wallet each payout cycle. That mechanic is what makes $CLASS a yield-bearing utility token tied directly to platform usage, not a purely speculative asset — the more the marketplace transacts, the more its stakers earn. Dual payment rails (Cardano and Stripe) widen the paying audience beyond crypto-native users, while the fee-and-staking loop keeps that revenue flowing back through $CLASS.</w:t>
      </w:r>
    </w:p>
    <w:p>
      <w:pPr>
        <w:pStyle w:val="Heading1"/>
        <w:pBdr>
          <w:bottom w:val="single" w:color="A10C14" w:sz="6" w:space="4"/>
        </w:pBdr>
        <w:spacing w:after="200" w:before="420"/>
      </w:pPr>
      <w:r>
        <w:rPr>
          <w:rFonts w:ascii="Calibri" w:cs="Calibri" w:eastAsia="Calibri" w:hAnsi="Calibri"/>
          <w:b/>
          <w:bCs/>
          <w:color w:val="A10C14"/>
          <w:sz w:val="30"/>
          <w:szCs w:val="30"/>
        </w:rPr>
        <w:t xml:space="preserve">4. Tokenomics</w:t>
      </w:r>
    </w:p>
    <w:p>
      <w:pPr>
        <w:spacing w:after="200" w:line="276"/>
      </w:pPr>
      <w:r>
        <w:rPr>
          <w:rFonts w:ascii="Calibri" w:cs="Calibri" w:eastAsia="Calibri" w:hAnsi="Calibri"/>
          <w:b w:val="false"/>
          <w:bCs w:val="false"/>
          <w:i w:val="false"/>
          <w:iCs w:val="false"/>
          <w:color w:val="1A2233"/>
          <w:sz w:val="22"/>
          <w:szCs w:val="22"/>
        </w:rPr>
        <w:t xml:space="preserve">$CLASS supply is allocated two ways, each tied to a specific job:</w:t>
      </w:r>
    </w:p>
    <w:tbl>
      <w:tblPr>
        <w:tblW w:type="dxa" w:w="9360"/>
        <w:tblBorders>
          <w:top w:val="single" w:color="DDD0A6" w:sz="4"/>
          <w:left w:val="single" w:color="DDD0A6" w:sz="4"/>
          <w:bottom w:val="single" w:color="DDD0A6" w:sz="4"/>
          <w:right w:val="single" w:color="DDD0A6" w:sz="4"/>
          <w:insideH w:val="single" w:color="DDD0A6" w:sz="4"/>
          <w:insideV w:val="single" w:color="DDD0A6" w:sz="4"/>
        </w:tblBorders>
      </w:tblPr>
      <w:tblGrid>
        <w:gridCol w:w="2200"/>
        <w:gridCol w:w="1200"/>
        <w:gridCol w:w="5960"/>
      </w:tblGrid>
      <w:tr>
        <w:trPr>
          <w:cantSplit/>
          <w:tblHeader/>
        </w:trPr>
        <w:tc>
          <w:tcPr>
            <w:tcW w:type="dxa" w:w="2200"/>
            <w:shd w:fill="F3EAD2" w:color="auto" w:val="clear"/>
            <w:tcMar>
              <w:top w:type="dxa" w:w="120"/>
              <w:left w:type="dxa" w:w="140"/>
              <w:bottom w:type="dxa" w:w="120"/>
              <w:right w:type="dxa" w:w="140"/>
            </w:tcMar>
            <w:vAlign w:val="top"/>
          </w:tcPr>
          <w:p>
            <w:pPr>
              <w:spacing w:line="264"/>
            </w:pPr>
            <w:r>
              <w:rPr>
                <w:rFonts w:ascii="Calibri" w:cs="Calibri" w:eastAsia="Calibri" w:hAnsi="Calibri"/>
                <w:b/>
                <w:bCs/>
                <w:color w:val="A10C14"/>
                <w:sz w:val="21"/>
                <w:szCs w:val="21"/>
              </w:rPr>
              <w:t xml:space="preserve">Allocation</w:t>
            </w:r>
          </w:p>
        </w:tc>
        <w:tc>
          <w:tcPr>
            <w:tcW w:type="dxa" w:w="1200"/>
            <w:shd w:fill="F3EAD2" w:color="auto" w:val="clear"/>
            <w:tcMar>
              <w:top w:type="dxa" w:w="120"/>
              <w:left w:type="dxa" w:w="140"/>
              <w:bottom w:type="dxa" w:w="120"/>
              <w:right w:type="dxa" w:w="140"/>
            </w:tcMar>
            <w:vAlign w:val="top"/>
          </w:tcPr>
          <w:p>
            <w:pPr>
              <w:spacing w:line="264"/>
            </w:pPr>
            <w:r>
              <w:rPr>
                <w:rFonts w:ascii="Calibri" w:cs="Calibri" w:eastAsia="Calibri" w:hAnsi="Calibri"/>
                <w:b/>
                <w:bCs/>
                <w:color w:val="A10C14"/>
                <w:sz w:val="21"/>
                <w:szCs w:val="21"/>
              </w:rPr>
              <w:t xml:space="preserve">Share</w:t>
            </w:r>
          </w:p>
        </w:tc>
        <w:tc>
          <w:tcPr>
            <w:tcW w:type="dxa" w:w="5960"/>
            <w:shd w:fill="F3EAD2" w:color="auto" w:val="clear"/>
            <w:tcMar>
              <w:top w:type="dxa" w:w="120"/>
              <w:left w:type="dxa" w:w="140"/>
              <w:bottom w:type="dxa" w:w="120"/>
              <w:right w:type="dxa" w:w="140"/>
            </w:tcMar>
            <w:vAlign w:val="top"/>
          </w:tcPr>
          <w:p>
            <w:pPr>
              <w:spacing w:line="264"/>
            </w:pPr>
            <w:r>
              <w:rPr>
                <w:rFonts w:ascii="Calibri" w:cs="Calibri" w:eastAsia="Calibri" w:hAnsi="Calibri"/>
                <w:b/>
                <w:bCs/>
                <w:color w:val="A10C14"/>
                <w:sz w:val="21"/>
                <w:szCs w:val="21"/>
              </w:rPr>
              <w:t xml:space="preserve">Use of funds</w:t>
            </w:r>
          </w:p>
        </w:tc>
      </w:tr>
      <w:tr>
        <w:trPr>
          <w:cantSplit/>
        </w:trPr>
        <w:tc>
          <w:tcPr>
            <w:tcW w:type="dxa" w:w="2200"/>
            <w:tcMar>
              <w:top w:type="dxa" w:w="120"/>
              <w:left w:type="dxa" w:w="140"/>
              <w:bottom w:type="dxa" w:w="120"/>
              <w:right w:type="dxa" w:w="140"/>
            </w:tcMar>
            <w:vAlign w:val="top"/>
          </w:tcPr>
          <w:p>
            <w:pPr>
              <w:spacing w:line="264"/>
            </w:pPr>
            <w:r>
              <w:rPr>
                <w:rFonts w:ascii="Calibri" w:cs="Calibri" w:eastAsia="Calibri" w:hAnsi="Calibri"/>
                <w:b/>
                <w:bCs/>
                <w:color w:val="1A2233"/>
                <w:sz w:val="21"/>
                <w:szCs w:val="21"/>
              </w:rPr>
              <w:t xml:space="preserve">Organization Treasury</w:t>
            </w:r>
          </w:p>
        </w:tc>
        <w:tc>
          <w:tcPr>
            <w:tcW w:type="dxa" w:w="1200"/>
            <w:tcMar>
              <w:top w:type="dxa" w:w="120"/>
              <w:left w:type="dxa" w:w="140"/>
              <w:bottom w:type="dxa" w:w="120"/>
              <w:right w:type="dxa" w:w="140"/>
            </w:tcMar>
            <w:vAlign w:val="top"/>
          </w:tcPr>
          <w:p>
            <w:pPr>
              <w:spacing w:line="264"/>
            </w:pPr>
            <w:r>
              <w:rPr>
                <w:rFonts w:ascii="Calibri" w:cs="Calibri" w:eastAsia="Calibri" w:hAnsi="Calibri"/>
                <w:b/>
                <w:bCs/>
                <w:color w:val="1A2233"/>
                <w:sz w:val="21"/>
                <w:szCs w:val="21"/>
              </w:rPr>
              <w:t xml:space="preserve">40%</w:t>
            </w:r>
          </w:p>
        </w:tc>
        <w:tc>
          <w:tcPr>
            <w:tcW w:type="dxa" w:w="5960"/>
            <w:tcMar>
              <w:top w:type="dxa" w:w="120"/>
              <w:left w:type="dxa" w:w="140"/>
              <w:bottom w:type="dxa" w:w="120"/>
              <w:right w:type="dxa" w:w="140"/>
            </w:tcMar>
            <w:vAlign w:val="top"/>
          </w:tcPr>
          <w:p>
            <w:pPr>
              <w:spacing w:line="264"/>
            </w:pPr>
            <w:r>
              <w:rPr>
                <w:rFonts w:ascii="Calibri" w:cs="Calibri" w:eastAsia="Calibri" w:hAnsi="Calibri"/>
                <w:b w:val="false"/>
                <w:bCs w:val="false"/>
                <w:color w:val="1A2233"/>
                <w:sz w:val="21"/>
                <w:szCs w:val="21"/>
              </w:rPr>
              <w:t xml:space="preserve">Never sold, staked like any other $CLASS wallet. What it earns funds (a) marketing and user acquisition — finding the platform's next waves of clients and pros, (b) building Version 2: a more refined, more secure, and more fully realized version of the platform, and (c) paying the OG team and round-table investors 10% of what this allocation earns each cycle.</w:t>
            </w:r>
          </w:p>
        </w:tc>
      </w:tr>
      <w:tr>
        <w:trPr>
          <w:cantSplit/>
        </w:trPr>
        <w:tc>
          <w:tcPr>
            <w:tcW w:type="dxa" w:w="2200"/>
            <w:tcMar>
              <w:top w:type="dxa" w:w="120"/>
              <w:left w:type="dxa" w:w="140"/>
              <w:bottom w:type="dxa" w:w="120"/>
              <w:right w:type="dxa" w:w="140"/>
            </w:tcMar>
            <w:vAlign w:val="top"/>
          </w:tcPr>
          <w:p>
            <w:pPr>
              <w:spacing w:line="264"/>
            </w:pPr>
            <w:r>
              <w:rPr>
                <w:rFonts w:ascii="Calibri" w:cs="Calibri" w:eastAsia="Calibri" w:hAnsi="Calibri"/>
                <w:b/>
                <w:bCs/>
                <w:color w:val="1A2233"/>
                <w:sz w:val="21"/>
                <w:szCs w:val="21"/>
              </w:rPr>
              <w:t xml:space="preserve">Public Sale</w:t>
            </w:r>
          </w:p>
        </w:tc>
        <w:tc>
          <w:tcPr>
            <w:tcW w:type="dxa" w:w="1200"/>
            <w:tcMar>
              <w:top w:type="dxa" w:w="120"/>
              <w:left w:type="dxa" w:w="140"/>
              <w:bottom w:type="dxa" w:w="120"/>
              <w:right w:type="dxa" w:w="140"/>
            </w:tcMar>
            <w:vAlign w:val="top"/>
          </w:tcPr>
          <w:p>
            <w:pPr>
              <w:spacing w:line="264"/>
            </w:pPr>
            <w:r>
              <w:rPr>
                <w:rFonts w:ascii="Calibri" w:cs="Calibri" w:eastAsia="Calibri" w:hAnsi="Calibri"/>
                <w:b/>
                <w:bCs/>
                <w:color w:val="1A2233"/>
                <w:sz w:val="21"/>
                <w:szCs w:val="21"/>
              </w:rPr>
              <w:t xml:space="preserve">60%</w:t>
            </w:r>
          </w:p>
        </w:tc>
        <w:tc>
          <w:tcPr>
            <w:tcW w:type="dxa" w:w="5960"/>
            <w:tcMar>
              <w:top w:type="dxa" w:w="120"/>
              <w:left w:type="dxa" w:w="140"/>
              <w:bottom w:type="dxa" w:w="120"/>
              <w:right w:type="dxa" w:w="140"/>
            </w:tcMar>
            <w:vAlign w:val="top"/>
          </w:tcPr>
          <w:p>
            <w:pPr>
              <w:spacing w:line="264"/>
            </w:pPr>
            <w:r>
              <w:rPr>
                <w:rFonts w:ascii="Calibri" w:cs="Calibri" w:eastAsia="Calibri" w:hAnsi="Calibri"/>
                <w:b w:val="false"/>
                <w:bCs w:val="false"/>
                <w:color w:val="1A2233"/>
                <w:sz w:val="21"/>
                <w:szCs w:val="21"/>
              </w:rPr>
              <w:t xml:space="preserve">Open to the public. Ownership held by the people who use the platform.</w:t>
            </w:r>
          </w:p>
        </w:tc>
      </w:tr>
    </w:tbl>
    <w:p>
      <w:pPr>
        <w:spacing w:after="200" w:before="220"/>
      </w:pPr>
    </w:p>
    <w:p>
      <w:pPr>
        <w:spacing w:after="200" w:line="276"/>
      </w:pPr>
      <w:r>
        <w:rPr>
          <w:rFonts w:ascii="Calibri" w:cs="Calibri" w:eastAsia="Calibri" w:hAnsi="Calibri"/>
          <w:b w:val="false"/>
          <w:bCs w:val="false"/>
          <w:i w:val="false"/>
          <w:iCs w:val="false"/>
          <w:color w:val="1A2233"/>
          <w:sz w:val="22"/>
          <w:szCs w:val="22"/>
        </w:rPr>
        <w:t xml:space="preserve">The Treasury's 40% never selling is a deliberate signal: the team is building for the platform's long-term health, not a short-term exit. Those tokens stay staked like any other $CLASS wallet, and the platform-fee income they earn goes back into growing the user base and shipping Version 2 — the same work this investment round funds. The Round Table's pay is tied to that same work, not to tenure: it isn't a separate token grant, it's 10% of what the Treasury's staked 40% earns each cycle.</w:t>
      </w:r>
    </w:p>
    <w:p>
      <w:pPr>
        <w:pStyle w:val="Heading1"/>
        <w:pBdr>
          <w:bottom w:val="single" w:color="A10C14" w:sz="6" w:space="4"/>
        </w:pBdr>
        <w:spacing w:after="200" w:before="420"/>
      </w:pPr>
      <w:r>
        <w:rPr>
          <w:rFonts w:ascii="Calibri" w:cs="Calibri" w:eastAsia="Calibri" w:hAnsi="Calibri"/>
          <w:b/>
          <w:bCs/>
          <w:color w:val="A10C14"/>
          <w:sz w:val="30"/>
          <w:szCs w:val="30"/>
        </w:rPr>
        <w:t xml:space="preserve">5. Governance: From Round Table to Board of Directors</w:t>
      </w:r>
    </w:p>
    <w:p>
      <w:pPr>
        <w:pStyle w:val="Heading2"/>
        <w:spacing w:after="140" w:before="280"/>
      </w:pPr>
      <w:r>
        <w:rPr>
          <w:rFonts w:ascii="Calibri" w:cs="Calibri" w:eastAsia="Calibri" w:hAnsi="Calibri"/>
          <w:b/>
          <w:bCs/>
          <w:color w:val="2E4B72"/>
          <w:sz w:val="24"/>
          <w:szCs w:val="24"/>
        </w:rPr>
        <w:t xml:space="preserve">Phase 1 — The Round Table (today)</w:t>
      </w:r>
    </w:p>
    <w:p>
      <w:pPr>
        <w:spacing w:after="200" w:line="276"/>
      </w:pPr>
      <w:r>
        <w:rPr>
          <w:rFonts w:ascii="Calibri" w:cs="Calibri" w:eastAsia="Calibri" w:hAnsi="Calibri"/>
          <w:b w:val="false"/>
          <w:bCs w:val="false"/>
          <w:i w:val="false"/>
          <w:iCs w:val="false"/>
          <w:color w:val="1A2233"/>
          <w:sz w:val="22"/>
          <w:szCs w:val="22"/>
        </w:rPr>
        <w:t xml:space="preserve">Cardano's Classifieds is currently led round-table style — modeled explicitly on King Arthur and the Knights of the Round Table. There is no head of the table among the platform's core early contributors: every seat carries equal voice and equal accountability, and decisions get made together, in the open, by the people doing the work.</w:t>
      </w:r>
    </w:p>
    <w:p>
      <w:pPr>
        <w:spacing w:after="200" w:line="276"/>
      </w:pPr>
      <w:r>
        <w:rPr>
          <w:rFonts w:ascii="Calibri" w:cs="Calibri" w:eastAsia="Calibri" w:hAnsi="Calibri"/>
          <w:b w:val="false"/>
          <w:bCs w:val="false"/>
          <w:i w:val="false"/>
          <w:iCs w:val="false"/>
          <w:color w:val="1A2233"/>
          <w:sz w:val="22"/>
          <w:szCs w:val="22"/>
        </w:rPr>
        <w:t xml:space="preserve">The Round Table is made up of the OG team and the round-table investors, paid out of what the Treasury's staked 40% earns rather than a separate token grant (see Tokenomics, above). Its mandate is concrete, not ceremonial: find the platform's first users, and build the site and product vision through Version 2.</w:t>
      </w:r>
    </w:p>
    <w:p>
      <w:pPr>
        <w:pStyle w:val="Heading2"/>
        <w:spacing w:after="140" w:before="280"/>
      </w:pPr>
      <w:r>
        <w:rPr>
          <w:rFonts w:ascii="Calibri" w:cs="Calibri" w:eastAsia="Calibri" w:hAnsi="Calibri"/>
          <w:b/>
          <w:bCs/>
          <w:color w:val="2E4B72"/>
          <w:sz w:val="24"/>
          <w:szCs w:val="24"/>
        </w:rPr>
        <w:t xml:space="preserve">Phase 2 — Board of Directors (post-maturity)</w:t>
      </w:r>
    </w:p>
    <w:p>
      <w:pPr>
        <w:spacing w:after="200" w:line="276"/>
      </w:pPr>
      <w:r>
        <w:rPr>
          <w:rFonts w:ascii="Calibri" w:cs="Calibri" w:eastAsia="Calibri" w:hAnsi="Calibri"/>
          <w:b w:val="false"/>
          <w:bCs w:val="false"/>
          <w:i w:val="false"/>
          <w:iCs w:val="false"/>
          <w:color w:val="1A2233"/>
          <w:sz w:val="22"/>
          <w:szCs w:val="22"/>
        </w:rPr>
        <w:t xml:space="preserve">Once the OG team has matured the platform to the point where Version 2 is live and the operation funded by the Treasury's 40% allocation is profitable enough to sustain itself, the OG team will formally establish a Board of Directors to manage all aspects of the platform and business going forward.</w:t>
      </w:r>
    </w:p>
    <w:p>
      <w:pPr>
        <w:spacing w:after="200" w:line="276"/>
      </w:pPr>
      <w:r>
        <w:rPr>
          <w:rFonts w:ascii="Calibri" w:cs="Calibri" w:eastAsia="Calibri" w:hAnsi="Calibri"/>
          <w:b w:val="false"/>
          <w:bCs w:val="false"/>
          <w:i w:val="false"/>
          <w:iCs w:val="false"/>
          <w:color w:val="1A2233"/>
          <w:sz w:val="22"/>
          <w:szCs w:val="22"/>
        </w:rPr>
        <w:t xml:space="preserve">This is a deliberate transition, timed to the platform's actual maturity rather than to a fixed date: a small, fast-moving team gets the marketplace to self-sustaining scale, then hands ongoing stewardship to a formal board built for the long run. It gives early investors and contributors a direct hand in the platform's formative years, with a clear, milestone-based path to the institutional governance that matters most once there is a durable business to govern.</w:t>
      </w:r>
    </w:p>
    <w:p>
      <w:pPr>
        <w:pStyle w:val="Heading1"/>
        <w:pBdr>
          <w:bottom w:val="single" w:color="A10C14" w:sz="6" w:space="4"/>
        </w:pBdr>
        <w:spacing w:after="200" w:before="420"/>
      </w:pPr>
      <w:r>
        <w:rPr>
          <w:rFonts w:ascii="Calibri" w:cs="Calibri" w:eastAsia="Calibri" w:hAnsi="Calibri"/>
          <w:b/>
          <w:bCs/>
          <w:color w:val="A10C14"/>
          <w:sz w:val="30"/>
          <w:szCs w:val="30"/>
        </w:rPr>
        <w:t xml:space="preserve">6. Roadmap</w:t>
      </w:r>
    </w:p>
    <w:p>
      <w:pPr>
        <w:spacing w:after="200" w:line="276"/>
      </w:pPr>
      <w:r>
        <w:rPr>
          <w:rFonts w:ascii="Calibri" w:cs="Calibri" w:eastAsia="Calibri" w:hAnsi="Calibri"/>
          <w:b w:val="false"/>
          <w:bCs w:val="false"/>
          <w:i w:val="false"/>
          <w:iCs w:val="false"/>
          <w:color w:val="1A2233"/>
          <w:sz w:val="22"/>
          <w:szCs w:val="22"/>
        </w:rPr>
        <w:t xml:space="preserve">Four phases, each gating the next:</w:t>
      </w:r>
    </w:p>
    <w:p>
      <w:pPr>
        <w:pStyle w:val="ListParagraph"/>
        <w:numPr>
          <w:ilvl w:val="0"/>
          <w:numId w:val="2"/>
        </w:numPr>
        <w:spacing w:after="120" w:line="276"/>
      </w:pPr>
      <w:r>
        <w:rPr>
          <w:rFonts w:ascii="Calibri" w:cs="Calibri" w:eastAsia="Calibri" w:hAnsi="Calibri"/>
          <w:b/>
          <w:bCs/>
          <w:color w:val="1A2233"/>
          <w:sz w:val="22"/>
          <w:szCs w:val="22"/>
        </w:rPr>
        <w:t xml:space="preserve">Raise &amp; Onboard — </w:t>
      </w:r>
      <w:r>
        <w:rPr>
          <w:rFonts w:ascii="Calibri" w:cs="Calibri" w:eastAsia="Calibri" w:hAnsi="Calibri"/>
          <w:color w:val="1A2233"/>
          <w:sz w:val="22"/>
          <w:szCs w:val="22"/>
        </w:rPr>
        <w:t xml:space="preserve">close the early-investor round; the Round Table deploys the raise, together with the Treasury's marketing allocation, to onboard the platform's first clients and pros.</w:t>
      </w:r>
    </w:p>
    <w:p>
      <w:pPr>
        <w:pStyle w:val="ListParagraph"/>
        <w:numPr>
          <w:ilvl w:val="0"/>
          <w:numId w:val="2"/>
        </w:numPr>
        <w:spacing w:after="120" w:line="276"/>
      </w:pPr>
      <w:r>
        <w:rPr>
          <w:rFonts w:ascii="Calibri" w:cs="Calibri" w:eastAsia="Calibri" w:hAnsi="Calibri"/>
          <w:b/>
          <w:bCs/>
          <w:color w:val="1A2233"/>
          <w:sz w:val="22"/>
          <w:szCs w:val="22"/>
        </w:rPr>
        <w:t xml:space="preserve">Build Version 2 — </w:t>
      </w:r>
      <w:r>
        <w:rPr>
          <w:rFonts w:ascii="Calibri" w:cs="Calibri" w:eastAsia="Calibri" w:hAnsi="Calibri"/>
          <w:color w:val="1A2233"/>
          <w:sz w:val="22"/>
          <w:szCs w:val="22"/>
        </w:rPr>
        <w:t xml:space="preserve">fund, with 90% of the Treasury's 40% allocation, a more refined, secure, and fully realized Version 2 of the platform, built on Midnight ($NIGHT) and its zero-knowledge privacy tooling, with Midnight Passport handling seedless, walletless onboarding.</w:t>
      </w:r>
    </w:p>
    <w:p>
      <w:pPr>
        <w:pStyle w:val="ListParagraph"/>
        <w:numPr>
          <w:ilvl w:val="0"/>
          <w:numId w:val="2"/>
        </w:numPr>
        <w:spacing w:after="120" w:line="276"/>
      </w:pPr>
      <w:r>
        <w:rPr>
          <w:rFonts w:ascii="Calibri" w:cs="Calibri" w:eastAsia="Calibri" w:hAnsi="Calibri"/>
          <w:b/>
          <w:bCs/>
          <w:color w:val="1A2233"/>
          <w:sz w:val="22"/>
          <w:szCs w:val="22"/>
        </w:rPr>
        <w:t xml:space="preserve">Reach Sustainability — </w:t>
      </w:r>
      <w:r>
        <w:rPr>
          <w:rFonts w:ascii="Calibri" w:cs="Calibri" w:eastAsia="Calibri" w:hAnsi="Calibri"/>
          <w:color w:val="1A2233"/>
          <w:sz w:val="22"/>
          <w:szCs w:val="22"/>
        </w:rPr>
        <w:t xml:space="preserve">grow platform fee revenue — and $CLASS staking rewards with it — until the Treasury-funded operation is profitable enough to sustain itself.</w:t>
      </w:r>
    </w:p>
    <w:p>
      <w:pPr>
        <w:pStyle w:val="ListParagraph"/>
        <w:numPr>
          <w:ilvl w:val="0"/>
          <w:numId w:val="2"/>
        </w:numPr>
        <w:spacing w:after="120" w:line="276"/>
      </w:pPr>
      <w:r>
        <w:rPr>
          <w:rFonts w:ascii="Calibri" w:cs="Calibri" w:eastAsia="Calibri" w:hAnsi="Calibri"/>
          <w:b/>
          <w:bCs/>
          <w:color w:val="1A2233"/>
          <w:sz w:val="22"/>
          <w:szCs w:val="22"/>
        </w:rPr>
        <w:t xml:space="preserve">Formalize Governance — </w:t>
      </w:r>
      <w:r>
        <w:rPr>
          <w:rFonts w:ascii="Calibri" w:cs="Calibri" w:eastAsia="Calibri" w:hAnsi="Calibri"/>
          <w:color w:val="1A2233"/>
          <w:sz w:val="22"/>
          <w:szCs w:val="22"/>
        </w:rPr>
        <w:t xml:space="preserve">the OG team stands up a Board of Directors to manage the platform and business going forward.</w:t>
      </w:r>
    </w:p>
    <w:p>
      <w:pPr>
        <w:pStyle w:val="Heading1"/>
        <w:pBdr>
          <w:bottom w:val="single" w:color="A10C14" w:sz="6" w:space="4"/>
        </w:pBdr>
        <w:spacing w:after="200" w:before="420"/>
      </w:pPr>
      <w:r>
        <w:rPr>
          <w:rFonts w:ascii="Calibri" w:cs="Calibri" w:eastAsia="Calibri" w:hAnsi="Calibri"/>
          <w:b/>
          <w:bCs/>
          <w:color w:val="A10C14"/>
          <w:sz w:val="30"/>
          <w:szCs w:val="30"/>
        </w:rPr>
        <w:t xml:space="preserve">7. The Investment Ask</w:t>
      </w:r>
    </w:p>
    <w:p>
      <w:pPr>
        <w:spacing w:after="200" w:line="276"/>
      </w:pPr>
      <w:r>
        <w:rPr>
          <w:rFonts w:ascii="Calibri" w:cs="Calibri" w:eastAsia="Calibri" w:hAnsi="Calibri"/>
          <w:b w:val="false"/>
          <w:bCs w:val="false"/>
          <w:i w:val="false"/>
          <w:iCs w:val="false"/>
          <w:color w:val="1A2233"/>
          <w:sz w:val="22"/>
          <w:szCs w:val="22"/>
        </w:rPr>
        <w:t xml:space="preserve">Cardano's Classifieds is raising from early investors to fund onboarding the platform's first round of clients and pros — the people who will make this marketplace real.</w:t>
      </w:r>
    </w:p>
    <w:p>
      <w:pPr>
        <w:spacing w:after="200" w:line="276"/>
      </w:pPr>
      <w:r>
        <w:rPr>
          <w:rFonts w:ascii="Calibri" w:cs="Calibri" w:eastAsia="Calibri" w:hAnsi="Calibri"/>
          <w:b w:val="false"/>
          <w:bCs w:val="false"/>
          <w:i/>
          <w:iCs/>
          <w:color w:val="1A2233"/>
          <w:sz w:val="22"/>
          <w:szCs w:val="22"/>
        </w:rPr>
        <w:t xml:space="preserve">Round size, instrument, and terms available on request.</w:t>
      </w:r>
    </w:p>
    <w:p>
      <w:pPr>
        <w:spacing w:after="200" w:line="276"/>
      </w:pPr>
      <w:r>
        <w:rPr>
          <w:rFonts w:ascii="Calibri" w:cs="Calibri" w:eastAsia="Calibri" w:hAnsi="Calibri"/>
          <w:b w:val="false"/>
          <w:bCs w:val="false"/>
          <w:i/>
          <w:iCs/>
          <w:color w:val="1A2233"/>
          <w:sz w:val="22"/>
          <w:szCs w:val="22"/>
        </w:rPr>
        <w:t xml:space="preserve">Contact information, data room, and scheduling link — add here.</w:t>
      </w:r>
    </w:p>
    <w:p>
      <w:pPr>
        <w:pStyle w:val="Heading1"/>
        <w:pBdr>
          <w:bottom w:val="single" w:color="A10C14" w:sz="6" w:space="4"/>
        </w:pBdr>
        <w:spacing w:after="200" w:before="420"/>
      </w:pPr>
      <w:r>
        <w:rPr>
          <w:rFonts w:ascii="Calibri" w:cs="Calibri" w:eastAsia="Calibri" w:hAnsi="Calibri"/>
          <w:b/>
          <w:bCs/>
          <w:color w:val="A10C14"/>
          <w:sz w:val="30"/>
          <w:szCs w:val="30"/>
        </w:rPr>
        <w:t xml:space="preserve">8. Risk Factors</w:t>
      </w:r>
    </w:p>
    <w:p>
      <w:pPr>
        <w:spacing w:after="200" w:line="276"/>
      </w:pPr>
      <w:r>
        <w:rPr>
          <w:rFonts w:ascii="Calibri" w:cs="Calibri" w:eastAsia="Calibri" w:hAnsi="Calibri"/>
          <w:b w:val="false"/>
          <w:bCs w:val="false"/>
          <w:i w:val="false"/>
          <w:iCs w:val="false"/>
          <w:color w:val="1A2233"/>
          <w:sz w:val="22"/>
          <w:szCs w:val="22"/>
        </w:rPr>
        <w:t xml:space="preserve">As with any early-stage marketplace, prospective investors should weigh:</w:t>
      </w:r>
    </w:p>
    <w:p>
      <w:pPr>
        <w:pStyle w:val="ListParagraph"/>
        <w:numPr>
          <w:ilvl w:val="0"/>
          <w:numId w:val="2"/>
        </w:numPr>
        <w:spacing w:after="120" w:line="276"/>
      </w:pPr>
      <w:r>
        <w:rPr>
          <w:rFonts w:ascii="Calibri" w:cs="Calibri" w:eastAsia="Calibri" w:hAnsi="Calibri"/>
          <w:b/>
          <w:bCs/>
          <w:color w:val="1A2233"/>
          <w:sz w:val="22"/>
          <w:szCs w:val="22"/>
        </w:rPr>
        <w:t xml:space="preserve">Cold-start risk — </w:t>
      </w:r>
      <w:r>
        <w:rPr>
          <w:rFonts w:ascii="Calibri" w:cs="Calibri" w:eastAsia="Calibri" w:hAnsi="Calibri"/>
          <w:color w:val="1A2233"/>
          <w:sz w:val="22"/>
          <w:szCs w:val="22"/>
        </w:rPr>
        <w:t xml:space="preserve">two-sided marketplaces depend on acquiring both sides (clients and pros) in tandem; the pace of that acquisition is not guaranteed.</w:t>
      </w:r>
    </w:p>
    <w:p>
      <w:pPr>
        <w:pStyle w:val="ListParagraph"/>
        <w:numPr>
          <w:ilvl w:val="0"/>
          <w:numId w:val="2"/>
        </w:numPr>
        <w:spacing w:after="120" w:line="276"/>
      </w:pPr>
      <w:r>
        <w:rPr>
          <w:rFonts w:ascii="Calibri" w:cs="Calibri" w:eastAsia="Calibri" w:hAnsi="Calibri"/>
          <w:b/>
          <w:bCs/>
          <w:color w:val="1A2233"/>
          <w:sz w:val="22"/>
          <w:szCs w:val="22"/>
        </w:rPr>
        <w:t xml:space="preserve">Token and regulatory risk — </w:t>
      </w:r>
      <w:r>
        <w:rPr>
          <w:rFonts w:ascii="Calibri" w:cs="Calibri" w:eastAsia="Calibri" w:hAnsi="Calibri"/>
          <w:color w:val="1A2233"/>
          <w:sz w:val="22"/>
          <w:szCs w:val="22"/>
        </w:rPr>
        <w:t xml:space="preserve">token-based incentive structures operate in an evolving regulatory environment that varies by jurisdiction.</w:t>
      </w:r>
    </w:p>
    <w:p>
      <w:pPr>
        <w:pStyle w:val="ListParagraph"/>
        <w:numPr>
          <w:ilvl w:val="0"/>
          <w:numId w:val="2"/>
        </w:numPr>
        <w:spacing w:after="120" w:line="276"/>
      </w:pPr>
      <w:r>
        <w:rPr>
          <w:rFonts w:ascii="Calibri" w:cs="Calibri" w:eastAsia="Calibri" w:hAnsi="Calibri"/>
          <w:b/>
          <w:bCs/>
          <w:color w:val="1A2233"/>
          <w:sz w:val="22"/>
          <w:szCs w:val="22"/>
        </w:rPr>
        <w:t xml:space="preserve">Market risk — </w:t>
      </w:r>
      <w:r>
        <w:rPr>
          <w:rFonts w:ascii="Calibri" w:cs="Calibri" w:eastAsia="Calibri" w:hAnsi="Calibri"/>
          <w:color w:val="1A2233"/>
          <w:sz w:val="22"/>
          <w:szCs w:val="22"/>
        </w:rPr>
        <w:t xml:space="preserve">treasury and staking value denominated in ADA is subject to cryptocurrency market volatility.</w:t>
      </w:r>
    </w:p>
    <w:p>
      <w:pPr>
        <w:pStyle w:val="ListParagraph"/>
        <w:numPr>
          <w:ilvl w:val="0"/>
          <w:numId w:val="2"/>
        </w:numPr>
        <w:spacing w:after="120" w:line="276"/>
      </w:pPr>
      <w:r>
        <w:rPr>
          <w:rFonts w:ascii="Calibri" w:cs="Calibri" w:eastAsia="Calibri" w:hAnsi="Calibri"/>
          <w:b/>
          <w:bCs/>
          <w:color w:val="1A2233"/>
          <w:sz w:val="22"/>
          <w:szCs w:val="22"/>
        </w:rPr>
        <w:t xml:space="preserve">Execution risk — </w:t>
      </w:r>
      <w:r>
        <w:rPr>
          <w:rFonts w:ascii="Calibri" w:cs="Calibri" w:eastAsia="Calibri" w:hAnsi="Calibri"/>
          <w:color w:val="1A2233"/>
          <w:sz w:val="22"/>
          <w:szCs w:val="22"/>
        </w:rPr>
        <w:t xml:space="preserve">Phases 2 through 4 of the roadmap depend on the Round Table's continued execution and on Version 2 shipping as described.</w:t>
      </w:r>
    </w:p>
    <w:p>
      <w:pPr>
        <w:pStyle w:val="Heading1"/>
        <w:pBdr>
          <w:bottom w:val="single" w:color="A10C14" w:sz="6" w:space="4"/>
        </w:pBdr>
        <w:spacing w:after="200" w:before="420"/>
      </w:pPr>
      <w:r>
        <w:rPr>
          <w:rFonts w:ascii="Calibri" w:cs="Calibri" w:eastAsia="Calibri" w:hAnsi="Calibri"/>
          <w:b/>
          <w:bCs/>
          <w:color w:val="A10C14"/>
          <w:sz w:val="30"/>
          <w:szCs w:val="30"/>
        </w:rPr>
        <w:t xml:space="preserve">Closing</w:t>
      </w:r>
    </w:p>
    <w:p>
      <w:pPr>
        <w:spacing w:after="200" w:line="276"/>
      </w:pPr>
      <w:r>
        <w:rPr>
          <w:rFonts w:ascii="Calibri" w:cs="Calibri" w:eastAsia="Calibri" w:hAnsi="Calibri"/>
          <w:b w:val="false"/>
          <w:bCs w:val="false"/>
          <w:i w:val="false"/>
          <w:iCs w:val="false"/>
          <w:color w:val="1A2233"/>
          <w:sz w:val="22"/>
          <w:szCs w:val="22"/>
        </w:rPr>
        <w:t xml:space="preserve">Cardano's Classifieds already works. What it needs now is the same thing every marketplace needs at this stage: its first real users, and the runway to build the more refined version of itself that keeps them. This raise, the Treasury's allocation, and the Round Table's mandate are all pointed at exactly that — with a clear, milestone-based path to the formal governance the business will need once it gets there.</w:t>
      </w:r>
    </w:p>
    <w:sectPr>
      <w:footerReference w:type="default" r:id="rId7"/>
      <w:footerReference w:type="first" r:id="rId8"/>
      <w:pgSz w:w="12240" w:h="15840"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0A6" w:sz="4" w:space="6"/>
      </w:pBdr>
      <w:jc w:val="center"/>
    </w:pPr>
    <w:r>
      <w:rPr>
        <w:rFonts w:ascii="Calibri" w:cs="Calibri" w:eastAsia="Calibri" w:hAnsi="Calibri"/>
        <w:color w:val="76705C"/>
        <w:sz w:val="16"/>
        <w:szCs w:val="16"/>
      </w:rPr>
      <w:t xml:space="preserve">Cardano's Classifieds — Business Plan — Confidential    </w:t>
    </w:r>
    <w:r>
      <w:rPr>
        <w:rFonts w:ascii="Calibri" w:cs="Calibri" w:eastAsia="Calibri" w:hAnsi="Calibri"/>
        <w:color w:val="76705C"/>
        <w:sz w:val="16"/>
        <w:szCs w:val="16"/>
      </w:rPr>
      <w:t xml:space="preserve">Page </w:t>
    </w:r>
    <w:r>
      <w:rPr>
        <w:rFonts w:ascii="Calibri" w:cs="Calibri" w:eastAsia="Calibri" w:hAnsi="Calibri"/>
        <w:color w:val="76705C"/>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2026-09-20T20:54:10.577Z</dcterms:created>
  <dcterms:modified xsi:type="dcterms:W3CDTF">2026-09-20T20:54:10.585Z</dcterms:modified>
</cp:coreProperties>
</file>

<file path=docProps/custom.xml><?xml version="1.0" encoding="utf-8"?>
<Properties xmlns="http://schemas.openxmlformats.org/officeDocument/2006/custom-properties" xmlns:vt="http://schemas.openxmlformats.org/officeDocument/2006/docPropsVTypes"/>
</file>